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6" w:type="dxa"/>
        <w:jc w:val="center"/>
        <w:tblLayout w:type="fixed"/>
        <w:tblLook w:val="0000" w:firstRow="0" w:lastRow="0" w:firstColumn="0" w:lastColumn="0" w:noHBand="0" w:noVBand="0"/>
      </w:tblPr>
      <w:tblGrid>
        <w:gridCol w:w="9166"/>
      </w:tblGrid>
      <w:tr w:rsidR="00BF7691" w14:paraId="53350A08" w14:textId="77777777">
        <w:trPr>
          <w:cantSplit/>
          <w:trHeight w:val="172"/>
          <w:jc w:val="center"/>
        </w:trPr>
        <w:tc>
          <w:tcPr>
            <w:tcW w:w="9166" w:type="dxa"/>
            <w:tcBorders>
              <w:left w:val="nil"/>
            </w:tcBorders>
            <w:vAlign w:val="center"/>
          </w:tcPr>
          <w:p w14:paraId="5799AE53" w14:textId="77777777" w:rsidR="00423496" w:rsidRPr="00C436C1" w:rsidRDefault="00423496" w:rsidP="00423496">
            <w:pPr>
              <w:pStyle w:val="Title"/>
            </w:pPr>
            <w:r>
              <w:t>DRAFT SPECIAL POWER OF ATTORNEY</w:t>
            </w:r>
          </w:p>
          <w:p w14:paraId="3DC17C9F" w14:textId="77777777" w:rsidR="00423496" w:rsidRDefault="00423496">
            <w:pPr>
              <w:pStyle w:val="BodyText"/>
              <w:spacing w:line="324" w:lineRule="auto"/>
              <w:jc w:val="both"/>
              <w:rPr>
                <w:rFonts w:ascii="Tahoma" w:hAnsi="Tahoma" w:cs="Tahoma"/>
                <w:sz w:val="20"/>
              </w:rPr>
            </w:pPr>
          </w:p>
          <w:p w14:paraId="42D6AAC4" w14:textId="7D44D467" w:rsidR="008A733B" w:rsidRDefault="00BF7691">
            <w:pPr>
              <w:pStyle w:val="BodyText"/>
              <w:spacing w:line="324" w:lineRule="auto"/>
              <w:jc w:val="both"/>
              <w:rPr>
                <w:rFonts w:ascii="Tahoma" w:hAnsi="Tahoma" w:cs="Tahoma"/>
                <w:sz w:val="20"/>
              </w:rPr>
            </w:pPr>
            <w:r>
              <w:rPr>
                <w:rFonts w:ascii="Tahoma" w:hAnsi="Tahoma"/>
                <w:sz w:val="20"/>
              </w:rPr>
              <w:t xml:space="preserve">In Athens, today, DD/MM/YYYY, the following person (hereinafter "the Principal"), ID number ............... and TIN .................., known to me and not exempted by law, appeared before me, ............., Notary Public and resident of ………….…………………….…………………………..…………, at my registered office (address:) ................. ……….. ....................... ...................... and requested that this power of attorney be drawn up and signed, stating to the banking corporation “NATIONAL BANK OF GREECE S.A.” (hereinafter "NBG"), having its registered office in Athens, </w:t>
            </w:r>
            <w:proofErr w:type="spellStart"/>
            <w:r>
              <w:rPr>
                <w:rFonts w:ascii="Tahoma" w:hAnsi="Tahoma"/>
                <w:sz w:val="20"/>
              </w:rPr>
              <w:t>Aiolou</w:t>
            </w:r>
            <w:proofErr w:type="spellEnd"/>
            <w:r>
              <w:rPr>
                <w:rFonts w:ascii="Tahoma" w:hAnsi="Tahoma"/>
                <w:sz w:val="20"/>
              </w:rPr>
              <w:t xml:space="preserve"> 86, with this declaration being addressed pursuant to articles 220 and 221 of the Civil Code, that they hereby appoint as their special attorney-in-fact, agent, representative and process agent (provide full details, as above, of the Agent:) ......................, lawyer (REG. No of Bar Association ...................), resident of (address:) ………………………….…..… ……………………………………………………….………… (hereinafter "the Agent"), to whom is granted the special order and authorization to </w:t>
            </w:r>
            <w:r>
              <w:rPr>
                <w:rFonts w:ascii="Tahoma" w:hAnsi="Tahoma"/>
                <w:i/>
                <w:sz w:val="20"/>
                <w:u w:val="single"/>
              </w:rPr>
              <w:t>appear in person or by appointing an attorney-in-fact before the Lawyer as per article 208 of the Greek Code of Civil Procedure,</w:t>
            </w:r>
            <w:r>
              <w:rPr>
                <w:rFonts w:ascii="Tahoma" w:hAnsi="Tahoma"/>
                <w:sz w:val="20"/>
              </w:rPr>
              <w:t xml:space="preserve"> </w:t>
            </w:r>
            <w:r>
              <w:rPr>
                <w:rFonts w:ascii="Tahoma" w:hAnsi="Tahoma"/>
                <w:b/>
                <w:sz w:val="20"/>
              </w:rPr>
              <w:t>subject to the decision of the competent court even in case of prorogation (such prorogation being expressly accepted by the Principal) and to consent in the name of the Principal and at their expense</w:t>
            </w:r>
            <w:r>
              <w:rPr>
                <w:rFonts w:ascii="Tahoma" w:hAnsi="Tahoma"/>
                <w:sz w:val="20"/>
              </w:rPr>
              <w:t xml:space="preserve"> to the issue of a </w:t>
            </w:r>
            <w:r>
              <w:rPr>
                <w:rFonts w:ascii="Tahoma" w:hAnsi="Tahoma"/>
                <w:i/>
                <w:sz w:val="20"/>
                <w:u w:val="single"/>
              </w:rPr>
              <w:t>Deed</w:t>
            </w:r>
            <w:r>
              <w:rPr>
                <w:rFonts w:ascii="Tahoma" w:hAnsi="Tahoma"/>
                <w:sz w:val="20"/>
              </w:rPr>
              <w:t xml:space="preserve"> allowing </w:t>
            </w:r>
            <w:r>
              <w:rPr>
                <w:rFonts w:ascii="Tahoma" w:hAnsi="Tahoma"/>
                <w:b/>
                <w:sz w:val="20"/>
              </w:rPr>
              <w:t xml:space="preserve">registration of mortgage </w:t>
            </w:r>
            <w:proofErr w:type="spellStart"/>
            <w:r>
              <w:rPr>
                <w:rFonts w:ascii="Tahoma" w:hAnsi="Tahoma"/>
                <w:b/>
                <w:sz w:val="20"/>
              </w:rPr>
              <w:t>prenotation</w:t>
            </w:r>
            <w:proofErr w:type="spellEnd"/>
            <w:r>
              <w:rPr>
                <w:rFonts w:ascii="Tahoma" w:hAnsi="Tahoma"/>
                <w:sz w:val="20"/>
              </w:rPr>
              <w:t xml:space="preserve"> with the relevant mortgage records of the competent Registry of Deeds or Land Registry, in </w:t>
            </w:r>
            <w:proofErr w:type="spellStart"/>
            <w:r>
              <w:rPr>
                <w:rFonts w:ascii="Tahoma" w:hAnsi="Tahoma"/>
                <w:sz w:val="20"/>
              </w:rPr>
              <w:t>favor</w:t>
            </w:r>
            <w:proofErr w:type="spellEnd"/>
            <w:r>
              <w:rPr>
                <w:rFonts w:ascii="Tahoma" w:hAnsi="Tahoma"/>
                <w:sz w:val="20"/>
              </w:rPr>
              <w:t xml:space="preserve"> of the banking corporation “NATIONAL BANK OF GREECE S.A.”, under the trade name “NBG”, bearing interest pursuant to article 1289 of the Greek Civil Code up to the amount of Euro/Swiss Francs ………………..….……………………… (€/CHF………………………………………) in security of its claims </w:t>
            </w:r>
            <w:r>
              <w:rPr>
                <w:rFonts w:ascii="Tahoma" w:hAnsi="Tahoma"/>
                <w:b/>
                <w:sz w:val="20"/>
              </w:rPr>
              <w:t>(agreed loan/ credit principal, fees and expenses, in general, borne by the Principal, and the estimated interest, contractual interest and default interest, as well as compounded interest, also securing such interest pursuant to article 1289 of the Greek Civil Code)</w:t>
            </w:r>
            <w:r>
              <w:rPr>
                <w:rFonts w:ascii="Tahoma" w:hAnsi="Tahoma"/>
                <w:sz w:val="20"/>
              </w:rPr>
              <w:t xml:space="preserve"> arising from Loan agreement/ Credit Agreement No …………………………… concluded:</w:t>
            </w:r>
          </w:p>
          <w:p w14:paraId="4061F439" w14:textId="77777777" w:rsidR="006D3E9E" w:rsidRPr="006D3E9E" w:rsidRDefault="006D3E9E">
            <w:pPr>
              <w:pStyle w:val="BodyText"/>
              <w:spacing w:line="324" w:lineRule="auto"/>
              <w:jc w:val="both"/>
              <w:rPr>
                <w:rFonts w:ascii="Tahoma" w:hAnsi="Tahoma" w:cs="Tahoma"/>
                <w:sz w:val="12"/>
              </w:rPr>
            </w:pPr>
          </w:p>
          <w:p w14:paraId="08E31271" w14:textId="77777777" w:rsidR="00876E66" w:rsidRDefault="008A733B">
            <w:pPr>
              <w:pStyle w:val="BodyText"/>
              <w:spacing w:line="324" w:lineRule="auto"/>
              <w:jc w:val="both"/>
              <w:rPr>
                <w:rFonts w:ascii="Tahoma" w:hAnsi="Tahoma" w:cs="Tahoma"/>
                <w:sz w:val="20"/>
              </w:rPr>
            </w:pPr>
            <w:r>
              <w:rPr>
                <w:rFonts w:ascii="Tahoma" w:hAnsi="Tahoma"/>
                <w:sz w:val="20"/>
              </w:rPr>
              <w:t xml:space="preserve">(a). between [MARK BELOW WITH X THE APPLICABLE FIELD]: </w:t>
            </w:r>
          </w:p>
          <w:p w14:paraId="0A472377" w14:textId="77777777" w:rsidR="006B25EE" w:rsidRPr="008E2720" w:rsidRDefault="006B25EE">
            <w:pPr>
              <w:pStyle w:val="BodyText"/>
              <w:spacing w:line="324" w:lineRule="auto"/>
              <w:jc w:val="both"/>
              <w:rPr>
                <w:rFonts w:ascii="Tahoma" w:hAnsi="Tahoma" w:cs="Tahoma"/>
                <w:sz w:val="12"/>
              </w:rPr>
            </w:pPr>
          </w:p>
          <w:tbl>
            <w:tblPr>
              <w:tblStyle w:val="TableGrid"/>
              <w:tblW w:w="0" w:type="auto"/>
              <w:tblLayout w:type="fixed"/>
              <w:tblLook w:val="04A0" w:firstRow="1" w:lastRow="0" w:firstColumn="1" w:lastColumn="0" w:noHBand="0" w:noVBand="1"/>
            </w:tblPr>
            <w:tblGrid>
              <w:gridCol w:w="738"/>
              <w:gridCol w:w="8202"/>
            </w:tblGrid>
            <w:tr w:rsidR="006B25EE" w14:paraId="1C8DA9B4" w14:textId="77777777" w:rsidTr="008D1DCB">
              <w:sdt>
                <w:sdtPr>
                  <w:rPr>
                    <w:rFonts w:ascii="Tahoma" w:hAnsi="Tahoma" w:cs="Tahoma"/>
                    <w:sz w:val="20"/>
                  </w:rPr>
                  <w:id w:val="2030914225"/>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6628385C" w14:textId="77777777" w:rsidR="006B25EE" w:rsidRDefault="008D1DCB" w:rsidP="008D1DCB">
                      <w:pPr>
                        <w:pStyle w:val="BodyText"/>
                        <w:spacing w:line="324" w:lineRule="auto"/>
                        <w:jc w:val="right"/>
                        <w:rPr>
                          <w:rFonts w:ascii="Tahoma" w:hAnsi="Tahoma" w:cs="Tahoma"/>
                          <w:sz w:val="20"/>
                        </w:rPr>
                      </w:pPr>
                      <w:r>
                        <w:rPr>
                          <w:rFonts w:ascii="MS Gothic" w:eastAsia="MS Gothic" w:hAnsi="Tahoma" w:cs="Tahoma" w:hint="eastAsia"/>
                          <w:sz w:val="20"/>
                        </w:rPr>
                        <w:t>☐</w:t>
                      </w:r>
                    </w:p>
                  </w:tc>
                </w:sdtContent>
              </w:sdt>
              <w:tc>
                <w:tcPr>
                  <w:tcW w:w="8202" w:type="dxa"/>
                  <w:tcBorders>
                    <w:top w:val="nil"/>
                    <w:left w:val="nil"/>
                    <w:bottom w:val="nil"/>
                    <w:right w:val="nil"/>
                  </w:tcBorders>
                </w:tcPr>
                <w:p w14:paraId="3007211A" w14:textId="77777777" w:rsidR="006B25EE" w:rsidRDefault="006B25EE" w:rsidP="00A02B0B">
                  <w:pPr>
                    <w:pStyle w:val="BodyText"/>
                    <w:spacing w:line="324" w:lineRule="auto"/>
                    <w:jc w:val="both"/>
                    <w:rPr>
                      <w:rFonts w:ascii="Tahoma" w:hAnsi="Tahoma" w:cs="Tahoma"/>
                      <w:sz w:val="20"/>
                    </w:rPr>
                  </w:pPr>
                  <w:r>
                    <w:rPr>
                      <w:rFonts w:ascii="Tahoma" w:hAnsi="Tahoma"/>
                      <w:sz w:val="20"/>
                    </w:rPr>
                    <w:t>NATIONAL BANK OF GREECE S.A.</w:t>
                  </w:r>
                </w:p>
              </w:tc>
            </w:tr>
            <w:tr w:rsidR="006B25EE" w14:paraId="0A483EBF" w14:textId="77777777" w:rsidTr="008D1DCB">
              <w:trPr>
                <w:trHeight w:val="290"/>
              </w:trPr>
              <w:tc>
                <w:tcPr>
                  <w:tcW w:w="738" w:type="dxa"/>
                  <w:tcBorders>
                    <w:top w:val="nil"/>
                    <w:left w:val="nil"/>
                    <w:bottom w:val="nil"/>
                    <w:right w:val="nil"/>
                  </w:tcBorders>
                </w:tcPr>
                <w:p w14:paraId="01B42E45" w14:textId="77777777" w:rsidR="006B25EE" w:rsidRPr="006D3E9E" w:rsidRDefault="006B25EE" w:rsidP="008D1DCB">
                  <w:pPr>
                    <w:pStyle w:val="BodyText"/>
                    <w:spacing w:line="324" w:lineRule="auto"/>
                    <w:jc w:val="right"/>
                    <w:rPr>
                      <w:rFonts w:ascii="Tahoma" w:hAnsi="Tahoma" w:cs="Tahoma"/>
                      <w:sz w:val="6"/>
                    </w:rPr>
                  </w:pPr>
                </w:p>
              </w:tc>
              <w:tc>
                <w:tcPr>
                  <w:tcW w:w="8202" w:type="dxa"/>
                  <w:tcBorders>
                    <w:top w:val="nil"/>
                    <w:left w:val="nil"/>
                    <w:bottom w:val="nil"/>
                    <w:right w:val="nil"/>
                  </w:tcBorders>
                </w:tcPr>
                <w:p w14:paraId="785FB24D" w14:textId="77777777" w:rsidR="006B25EE" w:rsidRPr="006D3E9E" w:rsidRDefault="006B25EE" w:rsidP="006B25EE">
                  <w:pPr>
                    <w:pStyle w:val="BodyText"/>
                    <w:spacing w:line="324" w:lineRule="auto"/>
                    <w:jc w:val="both"/>
                    <w:rPr>
                      <w:rFonts w:ascii="Tahoma" w:hAnsi="Tahoma" w:cs="Tahoma"/>
                      <w:sz w:val="6"/>
                    </w:rPr>
                  </w:pPr>
                </w:p>
              </w:tc>
            </w:tr>
            <w:tr w:rsidR="006B25EE" w14:paraId="0D2FFB66" w14:textId="77777777" w:rsidTr="008D1DCB">
              <w:trPr>
                <w:trHeight w:val="304"/>
              </w:trPr>
              <w:sdt>
                <w:sdtPr>
                  <w:rPr>
                    <w:rFonts w:ascii="Tahoma" w:hAnsi="Tahoma" w:cs="Tahoma"/>
                    <w:sz w:val="20"/>
                  </w:rPr>
                  <w:id w:val="-868210713"/>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109BD8DE" w14:textId="0E633B0A" w:rsidR="006B25EE" w:rsidRDefault="008D1DCB" w:rsidP="008D1DCB">
                      <w:pPr>
                        <w:pStyle w:val="BodyText"/>
                        <w:spacing w:line="324" w:lineRule="auto"/>
                        <w:jc w:val="right"/>
                        <w:rPr>
                          <w:rFonts w:ascii="Tahoma" w:hAnsi="Tahoma" w:cs="Tahoma"/>
                          <w:sz w:val="20"/>
                        </w:rPr>
                      </w:pPr>
                      <w:r>
                        <w:rPr>
                          <w:rFonts w:ascii="MS Gothic" w:eastAsia="MS Gothic" w:hAnsi="MS Gothic" w:cs="Tahoma" w:hint="eastAsia"/>
                          <w:sz w:val="20"/>
                        </w:rPr>
                        <w:t>☐</w:t>
                      </w:r>
                    </w:p>
                  </w:tc>
                </w:sdtContent>
              </w:sdt>
              <w:tc>
                <w:tcPr>
                  <w:tcW w:w="8202" w:type="dxa"/>
                  <w:vMerge w:val="restart"/>
                  <w:tcBorders>
                    <w:top w:val="nil"/>
                    <w:left w:val="nil"/>
                    <w:bottom w:val="nil"/>
                    <w:right w:val="nil"/>
                  </w:tcBorders>
                </w:tcPr>
                <w:p w14:paraId="29BAA03E" w14:textId="77777777" w:rsidR="006B25EE" w:rsidRDefault="006B25EE" w:rsidP="008E2720">
                  <w:pPr>
                    <w:pStyle w:val="BodyText"/>
                    <w:spacing w:line="324" w:lineRule="auto"/>
                    <w:jc w:val="both"/>
                    <w:rPr>
                      <w:rFonts w:ascii="Tahoma" w:hAnsi="Tahoma" w:cs="Tahoma"/>
                      <w:sz w:val="16"/>
                    </w:rPr>
                  </w:pPr>
                  <w:r>
                    <w:rPr>
                      <w:rFonts w:ascii="Tahoma" w:hAnsi="Tahoma"/>
                      <w:sz w:val="20"/>
                    </w:rPr>
                    <w:t>the banking corporation “PROBANK S.A.” under the trade name “PROBANK”, the specific successor of which is NATIONAL BANK OF GREECE S.A. (having entered into all of the rights of PROBANK which is placed under special liquidation in respect of the loan agreement, as above, against the Principal(s), which now continues between the Principal(s) and NBG, which fact is known and accepted by the latter pursuant to and within the meaning of the AGREEMENT (dated 26/07/2013) FOR THE TRANSFER OF ASSETS &amp; LIABILITIES OF A CREDIT INSTITUTION between PROBANK and the acquiring NATIONAL BANK OF GREECE, in execution of the decision of the Bank of Greece Resolution Measures Committee, under no. 12/26.07.2013, in accordance with article (and the procedure thereof) 63D Law 3601/2007)</w:t>
                  </w:r>
                  <w:r>
                    <w:rPr>
                      <w:rFonts w:ascii="Tahoma" w:hAnsi="Tahoma"/>
                    </w:rPr>
                    <w:t>;</w:t>
                  </w:r>
                </w:p>
                <w:p w14:paraId="24D2703B" w14:textId="77777777" w:rsidR="00234FD5" w:rsidRDefault="00234FD5" w:rsidP="008E2720">
                  <w:pPr>
                    <w:pStyle w:val="BodyText"/>
                    <w:spacing w:line="324" w:lineRule="auto"/>
                    <w:jc w:val="both"/>
                    <w:rPr>
                      <w:rFonts w:ascii="Tahoma" w:hAnsi="Tahoma" w:cs="Tahoma"/>
                      <w:sz w:val="16"/>
                    </w:rPr>
                  </w:pPr>
                </w:p>
                <w:p w14:paraId="03003DD8" w14:textId="77777777" w:rsidR="00234FD5" w:rsidRDefault="00234FD5" w:rsidP="008E2720">
                  <w:pPr>
                    <w:pStyle w:val="BodyText"/>
                    <w:spacing w:line="324" w:lineRule="auto"/>
                    <w:jc w:val="both"/>
                    <w:rPr>
                      <w:rFonts w:ascii="Tahoma" w:hAnsi="Tahoma" w:cs="Tahoma"/>
                      <w:sz w:val="20"/>
                    </w:rPr>
                  </w:pPr>
                </w:p>
                <w:p w14:paraId="45DB67F5" w14:textId="2CBAA10A" w:rsidR="00D44887" w:rsidRDefault="00D44887" w:rsidP="008E2720">
                  <w:pPr>
                    <w:pStyle w:val="BodyText"/>
                    <w:spacing w:line="324" w:lineRule="auto"/>
                    <w:jc w:val="both"/>
                    <w:rPr>
                      <w:rFonts w:ascii="Tahoma" w:hAnsi="Tahoma" w:cs="Tahoma"/>
                      <w:sz w:val="20"/>
                    </w:rPr>
                  </w:pPr>
                </w:p>
              </w:tc>
            </w:tr>
            <w:tr w:rsidR="006B25EE" w14:paraId="341C059A" w14:textId="77777777" w:rsidTr="008D1DCB">
              <w:trPr>
                <w:trHeight w:val="2124"/>
              </w:trPr>
              <w:tc>
                <w:tcPr>
                  <w:tcW w:w="738" w:type="dxa"/>
                  <w:tcBorders>
                    <w:top w:val="nil"/>
                    <w:left w:val="nil"/>
                    <w:bottom w:val="nil"/>
                    <w:right w:val="nil"/>
                  </w:tcBorders>
                </w:tcPr>
                <w:p w14:paraId="04CC1FEC" w14:textId="77777777" w:rsidR="006B25EE" w:rsidRDefault="006B25EE" w:rsidP="008D1DCB">
                  <w:pPr>
                    <w:pStyle w:val="BodyText"/>
                    <w:spacing w:line="324" w:lineRule="auto"/>
                    <w:jc w:val="right"/>
                    <w:rPr>
                      <w:rFonts w:ascii="Tahoma" w:hAnsi="Tahoma" w:cs="Tahoma"/>
                      <w:sz w:val="20"/>
                    </w:rPr>
                  </w:pPr>
                </w:p>
              </w:tc>
              <w:tc>
                <w:tcPr>
                  <w:tcW w:w="8202" w:type="dxa"/>
                  <w:vMerge/>
                  <w:tcBorders>
                    <w:top w:val="nil"/>
                    <w:left w:val="nil"/>
                    <w:bottom w:val="nil"/>
                    <w:right w:val="nil"/>
                  </w:tcBorders>
                </w:tcPr>
                <w:p w14:paraId="25F14620" w14:textId="77777777" w:rsidR="006B25EE" w:rsidRDefault="006B25EE" w:rsidP="006B25EE">
                  <w:pPr>
                    <w:pStyle w:val="BodyText"/>
                    <w:spacing w:line="324" w:lineRule="auto"/>
                    <w:jc w:val="both"/>
                    <w:rPr>
                      <w:rFonts w:ascii="Tahoma" w:hAnsi="Tahoma" w:cs="Tahoma"/>
                      <w:sz w:val="20"/>
                    </w:rPr>
                  </w:pPr>
                </w:p>
              </w:tc>
            </w:tr>
            <w:tr w:rsidR="008E2720" w14:paraId="06DD9F6B" w14:textId="77777777" w:rsidTr="008D1DCB">
              <w:trPr>
                <w:trHeight w:val="280"/>
              </w:trPr>
              <w:sdt>
                <w:sdtPr>
                  <w:rPr>
                    <w:rFonts w:ascii="Tahoma" w:hAnsi="Tahoma" w:cs="Tahoma"/>
                    <w:sz w:val="20"/>
                  </w:rPr>
                  <w:id w:val="565617041"/>
                  <w14:checkbox>
                    <w14:checked w14:val="0"/>
                    <w14:checkedState w14:val="2612" w14:font="MS Gothic"/>
                    <w14:uncheckedState w14:val="2610" w14:font="MS Gothic"/>
                  </w14:checkbox>
                </w:sdtPr>
                <w:sdtEndPr/>
                <w:sdtContent>
                  <w:tc>
                    <w:tcPr>
                      <w:tcW w:w="738" w:type="dxa"/>
                      <w:tcBorders>
                        <w:top w:val="nil"/>
                        <w:left w:val="nil"/>
                        <w:bottom w:val="nil"/>
                        <w:right w:val="nil"/>
                      </w:tcBorders>
                    </w:tcPr>
                    <w:p w14:paraId="320FC5D4" w14:textId="597FDCD2" w:rsidR="008E2720" w:rsidRDefault="008D1DCB" w:rsidP="008D1DCB">
                      <w:pPr>
                        <w:pStyle w:val="BodyText"/>
                        <w:spacing w:line="324" w:lineRule="auto"/>
                        <w:jc w:val="right"/>
                        <w:rPr>
                          <w:rFonts w:ascii="Tahoma" w:hAnsi="Tahoma" w:cs="Tahoma"/>
                          <w:sz w:val="20"/>
                        </w:rPr>
                      </w:pPr>
                      <w:r>
                        <w:rPr>
                          <w:rFonts w:ascii="MS Gothic" w:eastAsia="MS Gothic" w:hAnsi="MS Gothic" w:cs="Tahoma" w:hint="eastAsia"/>
                          <w:sz w:val="20"/>
                        </w:rPr>
                        <w:t>☐</w:t>
                      </w:r>
                    </w:p>
                  </w:tc>
                </w:sdtContent>
              </w:sdt>
              <w:tc>
                <w:tcPr>
                  <w:tcW w:w="8202" w:type="dxa"/>
                  <w:vMerge w:val="restart"/>
                  <w:tcBorders>
                    <w:top w:val="nil"/>
                    <w:left w:val="nil"/>
                    <w:bottom w:val="nil"/>
                    <w:right w:val="nil"/>
                  </w:tcBorders>
                </w:tcPr>
                <w:p w14:paraId="22252A89" w14:textId="3B512A3C" w:rsidR="008E2720" w:rsidRPr="00D44887" w:rsidRDefault="008E2720" w:rsidP="008E2720">
                  <w:pPr>
                    <w:pStyle w:val="BodyText"/>
                    <w:spacing w:line="324" w:lineRule="auto"/>
                    <w:jc w:val="both"/>
                    <w:rPr>
                      <w:rFonts w:ascii="Tahoma" w:hAnsi="Tahoma" w:cs="Tahoma"/>
                      <w:sz w:val="20"/>
                    </w:rPr>
                  </w:pPr>
                  <w:r w:rsidRPr="00D44887">
                    <w:rPr>
                      <w:rFonts w:ascii="Tahoma" w:hAnsi="Tahoma" w:cs="Tahoma"/>
                      <w:sz w:val="20"/>
                    </w:rPr>
                    <w:t>the banking corporation “FBB First Business Bank S.A.” under the trade name “FBB” , the specific successor of which is NATIONAL BANK OF GREECE S.A. (having entered into all of the rights of FBB which is placed under special liquidation in respect of the loan agreement, as above, against the Principal(s) which now continues between the Principal(s) and NBG, which fact is known and accepted by the latter pursuant to and within the meaning of the AGREEMENT (dated 10/05/2013) FOR THE TRANSFER OF ASSETS &amp; LIABILITIES OF A CREDIT INSTITUTION between FBB and the acquiring NATIONAL BANK OF GREECE, in execution of the decision of the Bank of Greece Resolution Measures Committee, under no. 10/10.05.2013, in accordance with article (and procedure thereof) 63D Law 3601/2007);</w:t>
                  </w:r>
                </w:p>
              </w:tc>
            </w:tr>
            <w:tr w:rsidR="008E2720" w14:paraId="1135C25F" w14:textId="77777777" w:rsidTr="008D1DCB">
              <w:trPr>
                <w:trHeight w:val="2430"/>
              </w:trPr>
              <w:tc>
                <w:tcPr>
                  <w:tcW w:w="738" w:type="dxa"/>
                  <w:tcBorders>
                    <w:top w:val="nil"/>
                    <w:left w:val="nil"/>
                    <w:bottom w:val="nil"/>
                    <w:right w:val="nil"/>
                  </w:tcBorders>
                </w:tcPr>
                <w:p w14:paraId="7F397095" w14:textId="77777777" w:rsidR="008E2720" w:rsidRDefault="008E2720" w:rsidP="006B25EE">
                  <w:pPr>
                    <w:pStyle w:val="BodyText"/>
                    <w:spacing w:line="324" w:lineRule="auto"/>
                    <w:jc w:val="both"/>
                    <w:rPr>
                      <w:rFonts w:ascii="Tahoma" w:hAnsi="Tahoma" w:cs="Tahoma"/>
                      <w:sz w:val="20"/>
                    </w:rPr>
                  </w:pPr>
                </w:p>
              </w:tc>
              <w:tc>
                <w:tcPr>
                  <w:tcW w:w="8202" w:type="dxa"/>
                  <w:vMerge/>
                  <w:tcBorders>
                    <w:top w:val="nil"/>
                    <w:left w:val="nil"/>
                    <w:bottom w:val="nil"/>
                    <w:right w:val="nil"/>
                  </w:tcBorders>
                </w:tcPr>
                <w:p w14:paraId="59A1047B" w14:textId="77777777" w:rsidR="008E2720" w:rsidRDefault="008E2720" w:rsidP="006B25EE">
                  <w:pPr>
                    <w:pStyle w:val="BodyText"/>
                    <w:spacing w:line="324" w:lineRule="auto"/>
                    <w:jc w:val="both"/>
                    <w:rPr>
                      <w:rFonts w:ascii="Tahoma" w:hAnsi="Tahoma" w:cs="Tahoma"/>
                      <w:sz w:val="20"/>
                    </w:rPr>
                  </w:pPr>
                </w:p>
              </w:tc>
            </w:tr>
          </w:tbl>
          <w:p w14:paraId="566E6843" w14:textId="77777777" w:rsidR="00BF7691" w:rsidRDefault="006B25EE" w:rsidP="00876E66">
            <w:pPr>
              <w:pStyle w:val="BodyText"/>
              <w:spacing w:line="324" w:lineRule="auto"/>
              <w:jc w:val="both"/>
              <w:rPr>
                <w:rFonts w:ascii="Tahoma" w:hAnsi="Tahoma" w:cs="Tahoma"/>
                <w:sz w:val="20"/>
              </w:rPr>
            </w:pPr>
            <w:r>
              <w:rPr>
                <w:rFonts w:ascii="Tahoma" w:hAnsi="Tahoma"/>
                <w:sz w:val="20"/>
              </w:rPr>
              <w:t xml:space="preserve">and (b.) the Principal(s), as above, </w:t>
            </w:r>
            <w:r>
              <w:rPr>
                <w:rFonts w:ascii="Tahoma" w:hAnsi="Tahoma"/>
                <w:i/>
                <w:sz w:val="20"/>
              </w:rPr>
              <w:t>(if the Borrower is a third party and not the Principal, their details should be stated:</w:t>
            </w:r>
            <w:r>
              <w:rPr>
                <w:rFonts w:ascii="Tahoma" w:hAnsi="Tahoma"/>
                <w:i/>
                <w:sz w:val="20"/>
                <w:highlight w:val="lightGray"/>
              </w:rPr>
              <w:t xml:space="preserve"> </w:t>
            </w:r>
            <w:r>
              <w:rPr>
                <w:rFonts w:ascii="Tahoma" w:hAnsi="Tahoma"/>
                <w:i/>
                <w:sz w:val="20"/>
              </w:rPr>
              <w:t xml:space="preserve">full name, father’s name, home </w:t>
            </w:r>
            <w:proofErr w:type="spellStart"/>
            <w:proofErr w:type="gramStart"/>
            <w:r>
              <w:rPr>
                <w:rFonts w:ascii="Tahoma" w:hAnsi="Tahoma"/>
                <w:i/>
                <w:sz w:val="20"/>
              </w:rPr>
              <w:t>address,TIN</w:t>
            </w:r>
            <w:proofErr w:type="spellEnd"/>
            <w:proofErr w:type="gramEnd"/>
            <w:r>
              <w:rPr>
                <w:rFonts w:ascii="Tahoma" w:hAnsi="Tahoma"/>
                <w:i/>
                <w:sz w:val="20"/>
              </w:rPr>
              <w:t xml:space="preserve">), </w:t>
            </w:r>
            <w:r>
              <w:rPr>
                <w:rFonts w:ascii="Tahoma" w:hAnsi="Tahoma"/>
                <w:sz w:val="20"/>
              </w:rPr>
              <w:t>as this agreement has been or may be amended, regarding the property described below owned by the principal(s):</w:t>
            </w:r>
          </w:p>
          <w:p w14:paraId="64A2C38E" w14:textId="77777777" w:rsidR="00BF7691" w:rsidRPr="00D44887" w:rsidRDefault="00BF7691">
            <w:pPr>
              <w:pStyle w:val="Heading6"/>
              <w:spacing w:line="324" w:lineRule="auto"/>
              <w:jc w:val="both"/>
              <w:rPr>
                <w:b w:val="0"/>
                <w:bCs w:val="0"/>
                <w:sz w:val="20"/>
                <w:lang w:val="en-US"/>
              </w:rPr>
            </w:pPr>
          </w:p>
        </w:tc>
      </w:tr>
      <w:tr w:rsidR="00BF7691" w14:paraId="3D2FDD61" w14:textId="77777777">
        <w:trPr>
          <w:cantSplit/>
          <w:trHeight w:val="172"/>
          <w:jc w:val="center"/>
        </w:trPr>
        <w:tc>
          <w:tcPr>
            <w:tcW w:w="9166" w:type="dxa"/>
            <w:tcBorders>
              <w:left w:val="nil"/>
            </w:tcBorders>
            <w:vAlign w:val="center"/>
          </w:tcPr>
          <w:p w14:paraId="34CEC0E1" w14:textId="77777777" w:rsidR="00BF7691" w:rsidRPr="00C436C1" w:rsidRDefault="00BF7691" w:rsidP="008E2720">
            <w:pPr>
              <w:spacing w:line="324" w:lineRule="auto"/>
              <w:jc w:val="both"/>
              <w:rPr>
                <w:rFonts w:ascii="Tahoma" w:hAnsi="Tahoma" w:cs="Tahoma"/>
                <w:i/>
                <w:iCs/>
                <w:sz w:val="20"/>
              </w:rPr>
            </w:pPr>
            <w:r>
              <w:rPr>
                <w:rFonts w:ascii="Tahoma" w:hAnsi="Tahoma"/>
                <w:i/>
                <w:sz w:val="20"/>
                <w:highlight w:val="lightGray"/>
              </w:rPr>
              <w:lastRenderedPageBreak/>
              <w:t>(</w:t>
            </w:r>
            <w:proofErr w:type="gramStart"/>
            <w:r>
              <w:rPr>
                <w:rFonts w:ascii="Tahoma" w:hAnsi="Tahoma"/>
                <w:i/>
                <w:sz w:val="20"/>
                <w:highlight w:val="lightGray"/>
              </w:rPr>
              <w:t>below</w:t>
            </w:r>
            <w:proofErr w:type="gramEnd"/>
            <w:r>
              <w:rPr>
                <w:rFonts w:ascii="Tahoma" w:hAnsi="Tahoma"/>
                <w:i/>
                <w:sz w:val="20"/>
                <w:highlight w:val="lightGray"/>
              </w:rPr>
              <w:t xml:space="preserve"> is a concise but accurate description and account of origin of the mortgaged property)</w:t>
            </w:r>
          </w:p>
          <w:p w14:paraId="7ACA47C2" w14:textId="77777777" w:rsidR="00BF7691" w:rsidRDefault="00BF7691">
            <w:pPr>
              <w:spacing w:line="324" w:lineRule="auto"/>
              <w:jc w:val="both"/>
              <w:rPr>
                <w:rFonts w:ascii="Tahoma" w:hAnsi="Tahoma" w:cs="Tahoma"/>
                <w:b/>
                <w:bCs/>
                <w:sz w:val="20"/>
              </w:rPr>
            </w:pPr>
          </w:p>
        </w:tc>
      </w:tr>
      <w:tr w:rsidR="00BF7691" w14:paraId="48CE48CD" w14:textId="77777777">
        <w:trPr>
          <w:cantSplit/>
          <w:trHeight w:val="951"/>
          <w:jc w:val="center"/>
        </w:trPr>
        <w:tc>
          <w:tcPr>
            <w:tcW w:w="9166" w:type="dxa"/>
            <w:tcBorders>
              <w:left w:val="nil"/>
            </w:tcBorders>
            <w:vAlign w:val="center"/>
          </w:tcPr>
          <w:p w14:paraId="0A231E25" w14:textId="5522FB4E" w:rsidR="00BF7691" w:rsidRDefault="00BF7691" w:rsidP="00933019">
            <w:pPr>
              <w:spacing w:line="324" w:lineRule="auto"/>
              <w:jc w:val="both"/>
              <w:rPr>
                <w:rFonts w:ascii="Tahoma" w:hAnsi="Tahoma" w:cs="Tahoma"/>
                <w:sz w:val="20"/>
              </w:rPr>
            </w:pPr>
            <w:r>
              <w:rPr>
                <w:rFonts w:ascii="Tahoma" w:hAnsi="Tahoma"/>
                <w:sz w:val="20"/>
              </w:rPr>
              <w:t>In general, the Agent should take any action and statement required for the execution and completion of the order, as above, even if not expressly mentioned herein, as well as confer upon other attorneys-at-law the same powers and authorities, or part thereof and revoke them.</w:t>
            </w:r>
          </w:p>
          <w:p w14:paraId="704CAE79" w14:textId="72EE7D38" w:rsidR="001F72D4" w:rsidRDefault="001F72D4" w:rsidP="00933019">
            <w:pPr>
              <w:spacing w:line="324" w:lineRule="auto"/>
              <w:jc w:val="both"/>
              <w:rPr>
                <w:rFonts w:ascii="Tahoma" w:hAnsi="Tahoma" w:cs="Tahoma"/>
                <w:sz w:val="20"/>
              </w:rPr>
            </w:pPr>
            <w:r>
              <w:rPr>
                <w:rFonts w:ascii="Tahoma" w:hAnsi="Tahoma"/>
                <w:sz w:val="20"/>
              </w:rPr>
              <w:t xml:space="preserve">All the powers granted hereby apply also </w:t>
            </w:r>
            <w:proofErr w:type="gramStart"/>
            <w:r>
              <w:rPr>
                <w:rFonts w:ascii="Tahoma" w:hAnsi="Tahoma"/>
                <w:sz w:val="20"/>
              </w:rPr>
              <w:t>in the event that</w:t>
            </w:r>
            <w:proofErr w:type="gramEnd"/>
            <w:r>
              <w:rPr>
                <w:rFonts w:ascii="Tahoma" w:hAnsi="Tahoma"/>
                <w:sz w:val="20"/>
              </w:rPr>
              <w:t xml:space="preserve"> the claims arising from the contracts, as above, are transferred and the management of the claims is assigned in the future to another administrator/Loan &amp; Credit Claim Management Company. In such a case, all the said powers, etc., shall apply in favour of the new beneficiary of the claims arising from the said contracts, who will take the place of NBG.</w:t>
            </w:r>
          </w:p>
        </w:tc>
      </w:tr>
      <w:tr w:rsidR="00BF7691" w14:paraId="1C27FE39" w14:textId="77777777">
        <w:trPr>
          <w:cantSplit/>
          <w:trHeight w:val="659"/>
          <w:jc w:val="center"/>
        </w:trPr>
        <w:tc>
          <w:tcPr>
            <w:tcW w:w="9166" w:type="dxa"/>
            <w:tcBorders>
              <w:left w:val="nil"/>
            </w:tcBorders>
            <w:vAlign w:val="center"/>
          </w:tcPr>
          <w:p w14:paraId="2CCBA93B" w14:textId="77777777" w:rsidR="00BF7691" w:rsidRDefault="00BF7691" w:rsidP="00933019">
            <w:pPr>
              <w:spacing w:line="324" w:lineRule="auto"/>
              <w:jc w:val="both"/>
              <w:rPr>
                <w:rFonts w:ascii="Tahoma" w:hAnsi="Tahoma" w:cs="Tahoma"/>
                <w:sz w:val="20"/>
              </w:rPr>
            </w:pPr>
            <w:r>
              <w:rPr>
                <w:rFonts w:ascii="Tahoma" w:hAnsi="Tahoma"/>
                <w:sz w:val="20"/>
              </w:rPr>
              <w:t xml:space="preserve">The </w:t>
            </w:r>
            <w:proofErr w:type="gramStart"/>
            <w:r>
              <w:rPr>
                <w:rFonts w:ascii="Tahoma" w:hAnsi="Tahoma"/>
                <w:sz w:val="20"/>
              </w:rPr>
              <w:t>Principal</w:t>
            </w:r>
            <w:proofErr w:type="gramEnd"/>
            <w:r>
              <w:rPr>
                <w:rFonts w:ascii="Tahoma" w:hAnsi="Tahoma"/>
                <w:sz w:val="20"/>
              </w:rPr>
              <w:t xml:space="preserve"> declares that they acknowledge the actions of the agent and attorney-in-fact under this order as legal, valid, binding and final and approve them as if agreed to by them, as per Article 235 of the Greek Civil Code.</w:t>
            </w:r>
          </w:p>
        </w:tc>
      </w:tr>
      <w:tr w:rsidR="00BF7691" w14:paraId="3FAEF0EF" w14:textId="77777777">
        <w:trPr>
          <w:cantSplit/>
          <w:trHeight w:val="322"/>
          <w:jc w:val="center"/>
        </w:trPr>
        <w:tc>
          <w:tcPr>
            <w:tcW w:w="9166" w:type="dxa"/>
            <w:tcBorders>
              <w:left w:val="nil"/>
            </w:tcBorders>
            <w:vAlign w:val="center"/>
          </w:tcPr>
          <w:p w14:paraId="4550969D" w14:textId="4F9FFEBA" w:rsidR="00BF7691" w:rsidRDefault="00BF7691" w:rsidP="00933019">
            <w:pPr>
              <w:spacing w:line="324" w:lineRule="auto"/>
              <w:jc w:val="both"/>
              <w:rPr>
                <w:rFonts w:ascii="Tahoma" w:hAnsi="Tahoma" w:cs="Tahoma"/>
                <w:sz w:val="20"/>
              </w:rPr>
            </w:pPr>
            <w:r>
              <w:rPr>
                <w:rFonts w:ascii="Tahoma" w:hAnsi="Tahoma"/>
                <w:sz w:val="20"/>
              </w:rPr>
              <w:t>This authorization and order shall apply and not cease to apply, even in cases included in articles 222, 223 and 726 of the Greek Civil Code, and it is agreed that it is irrevocable, since it does not concern exclusively the interest of the Principal(s) (i.e. the party(</w:t>
            </w:r>
            <w:proofErr w:type="spellStart"/>
            <w:r>
              <w:rPr>
                <w:rFonts w:ascii="Tahoma" w:hAnsi="Tahoma"/>
                <w:sz w:val="20"/>
              </w:rPr>
              <w:t>ies</w:t>
            </w:r>
            <w:proofErr w:type="spellEnd"/>
            <w:r>
              <w:rPr>
                <w:rFonts w:ascii="Tahoma" w:hAnsi="Tahoma"/>
                <w:sz w:val="20"/>
              </w:rPr>
              <w:t xml:space="preserve">) represented), but concerns – mainly – the interest of the Agent (article 724 of the Greek Civil Code).  </w:t>
            </w:r>
          </w:p>
        </w:tc>
      </w:tr>
      <w:tr w:rsidR="00BF7691" w14:paraId="6A169A65" w14:textId="77777777">
        <w:trPr>
          <w:cantSplit/>
          <w:trHeight w:val="352"/>
          <w:jc w:val="center"/>
        </w:trPr>
        <w:tc>
          <w:tcPr>
            <w:tcW w:w="9166" w:type="dxa"/>
            <w:tcBorders>
              <w:left w:val="nil"/>
            </w:tcBorders>
            <w:vAlign w:val="center"/>
          </w:tcPr>
          <w:p w14:paraId="462BE482" w14:textId="77777777" w:rsidR="00BF7691" w:rsidRDefault="00BF7691">
            <w:pPr>
              <w:spacing w:before="60" w:line="324" w:lineRule="auto"/>
              <w:jc w:val="both"/>
              <w:rPr>
                <w:rFonts w:ascii="Tahoma" w:hAnsi="Tahoma" w:cs="Tahoma"/>
                <w:sz w:val="20"/>
              </w:rPr>
            </w:pPr>
            <w:r>
              <w:rPr>
                <w:rFonts w:ascii="Tahoma" w:hAnsi="Tahoma"/>
                <w:sz w:val="20"/>
              </w:rPr>
              <w:t xml:space="preserve">The Principal/s approve(s) henceforth the actions of said agent, which are relevant and concern the completion of the said orders (e.g. submission of documents to Tax Offices, to land registries-cadastral offices, issuance of a Deed as provided for by article 208 of the Greek Code of Civil Procedure) even if they are not explicitly mentioned herein, as legal, valid, and incontestable and legally binding on them. </w:t>
            </w:r>
          </w:p>
          <w:p w14:paraId="355DC9E1" w14:textId="41ECEFCB" w:rsidR="00DC264B" w:rsidRDefault="00DC264B">
            <w:pPr>
              <w:spacing w:before="60" w:line="324" w:lineRule="auto"/>
              <w:jc w:val="both"/>
              <w:rPr>
                <w:rFonts w:ascii="Tahoma" w:hAnsi="Tahoma" w:cs="Tahoma"/>
                <w:b/>
                <w:bCs/>
                <w:sz w:val="20"/>
              </w:rPr>
            </w:pPr>
            <w:r>
              <w:rPr>
                <w:rFonts w:ascii="Tahoma" w:hAnsi="Tahoma"/>
                <w:sz w:val="20"/>
              </w:rPr>
              <w:t>The Principal hereby expressly declares and accepts that in the event that this power of attorney is revoked for any reason whatsoever (and despite the fact that this is irrevocably agreed), such revocation will be effective vis-à-vis the Bank only by means of a notarial document stating that matters are otherwise, which will be valid as of the next business day following its service by a process server.</w:t>
            </w:r>
          </w:p>
        </w:tc>
      </w:tr>
    </w:tbl>
    <w:p w14:paraId="002E16D9" w14:textId="77777777" w:rsidR="00BF7691" w:rsidRDefault="00BF7691">
      <w:pPr>
        <w:spacing w:line="324" w:lineRule="auto"/>
        <w:jc w:val="both"/>
      </w:pPr>
    </w:p>
    <w:sectPr w:rsidR="00BF769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258" w:right="1800" w:bottom="1079" w:left="1800" w:header="708"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2EDF" w14:textId="77777777" w:rsidR="00345CBC" w:rsidRDefault="00345CBC">
      <w:r>
        <w:separator/>
      </w:r>
    </w:p>
  </w:endnote>
  <w:endnote w:type="continuationSeparator" w:id="0">
    <w:p w14:paraId="585964B5" w14:textId="77777777" w:rsidR="00345CBC" w:rsidRDefault="00345CBC">
      <w:r>
        <w:continuationSeparator/>
      </w:r>
    </w:p>
  </w:endnote>
  <w:endnote w:type="continuationNotice" w:id="1">
    <w:p w14:paraId="607493F5" w14:textId="77777777" w:rsidR="00345CBC" w:rsidRDefault="0034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385F" w14:textId="77777777" w:rsidR="001F72D4" w:rsidRDefault="001F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7930" w14:textId="77777777" w:rsidR="001F72D4" w:rsidRDefault="001F7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2264" w14:textId="77777777" w:rsidR="001F72D4" w:rsidRDefault="001F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264D" w14:textId="77777777" w:rsidR="00345CBC" w:rsidRDefault="00345CBC">
      <w:r>
        <w:separator/>
      </w:r>
    </w:p>
  </w:footnote>
  <w:footnote w:type="continuationSeparator" w:id="0">
    <w:p w14:paraId="5EACA3F4" w14:textId="77777777" w:rsidR="00345CBC" w:rsidRDefault="00345CBC">
      <w:r>
        <w:continuationSeparator/>
      </w:r>
    </w:p>
  </w:footnote>
  <w:footnote w:type="continuationNotice" w:id="1">
    <w:p w14:paraId="39CB70AF" w14:textId="77777777" w:rsidR="00345CBC" w:rsidRDefault="0034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3552" w14:textId="77777777" w:rsidR="00DA14FF" w:rsidRDefault="00DA14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4344C" w14:textId="77777777" w:rsidR="00DA14FF" w:rsidRDefault="00DA1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0E1" w14:textId="77777777" w:rsidR="00DA14FF" w:rsidRDefault="00DA14FF">
    <w:pPr>
      <w:pStyle w:val="Header"/>
      <w:framePr w:wrap="around" w:vAnchor="text" w:hAnchor="margin" w:xAlign="center" w:y="1"/>
      <w:rPr>
        <w:rStyle w:val="PageNumber"/>
        <w:rFonts w:ascii="Tahoma" w:hAnsi="Tahoma" w:cs="Tahoma"/>
        <w:sz w:val="20"/>
      </w:rPr>
    </w:pPr>
  </w:p>
  <w:tbl>
    <w:tblPr>
      <w:tblW w:w="0" w:type="auto"/>
      <w:tblInd w:w="108" w:type="dxa"/>
      <w:tblLayout w:type="fixed"/>
      <w:tblLook w:val="0000" w:firstRow="0" w:lastRow="0" w:firstColumn="0" w:lastColumn="0" w:noHBand="0" w:noVBand="0"/>
    </w:tblPr>
    <w:tblGrid>
      <w:gridCol w:w="2732"/>
      <w:gridCol w:w="2841"/>
      <w:gridCol w:w="2707"/>
    </w:tblGrid>
    <w:tr w:rsidR="00DA14FF" w14:paraId="240DAFEB" w14:textId="77777777">
      <w:tc>
        <w:tcPr>
          <w:tcW w:w="2732" w:type="dxa"/>
        </w:tcPr>
        <w:p w14:paraId="5310C7E8" w14:textId="77777777" w:rsidR="00DA14FF" w:rsidRDefault="00DA14FF">
          <w:pPr>
            <w:pStyle w:val="Header"/>
            <w:rPr>
              <w:lang w:val="en-US"/>
            </w:rPr>
          </w:pPr>
        </w:p>
      </w:tc>
      <w:tc>
        <w:tcPr>
          <w:tcW w:w="2841" w:type="dxa"/>
        </w:tcPr>
        <w:p w14:paraId="45D1E5E6" w14:textId="77777777" w:rsidR="00DA14FF" w:rsidRDefault="00DA14FF">
          <w:pPr>
            <w:pStyle w:val="Header"/>
            <w:jc w:val="center"/>
            <w:rPr>
              <w:rFonts w:ascii="Tahoma" w:hAnsi="Tahoma"/>
              <w:b/>
            </w:rPr>
          </w:pPr>
          <w:r>
            <w:rPr>
              <w:rFonts w:ascii="Tahoma" w:hAnsi="Tahoma"/>
              <w:b/>
            </w:rPr>
            <w:t xml:space="preserve">     </w:t>
          </w:r>
        </w:p>
      </w:tc>
      <w:tc>
        <w:tcPr>
          <w:tcW w:w="2707" w:type="dxa"/>
        </w:tcPr>
        <w:p w14:paraId="206D817F" w14:textId="77777777" w:rsidR="00DA14FF" w:rsidRDefault="00DA14FF">
          <w:pPr>
            <w:pStyle w:val="Header"/>
          </w:pPr>
        </w:p>
      </w:tc>
    </w:tr>
    <w:tr w:rsidR="00DA14FF" w14:paraId="2F5AB5A2" w14:textId="77777777">
      <w:tc>
        <w:tcPr>
          <w:tcW w:w="2732" w:type="dxa"/>
        </w:tcPr>
        <w:p w14:paraId="3C22887D" w14:textId="77777777" w:rsidR="00DA14FF" w:rsidRDefault="00DA14FF">
          <w:pPr>
            <w:pStyle w:val="Header"/>
          </w:pPr>
        </w:p>
      </w:tc>
      <w:tc>
        <w:tcPr>
          <w:tcW w:w="2841" w:type="dxa"/>
        </w:tcPr>
        <w:p w14:paraId="13DAED25" w14:textId="77777777" w:rsidR="00DA14FF" w:rsidRDefault="00DA14FF">
          <w:pPr>
            <w:pStyle w:val="Header"/>
          </w:pPr>
        </w:p>
      </w:tc>
      <w:tc>
        <w:tcPr>
          <w:tcW w:w="2707" w:type="dxa"/>
        </w:tcPr>
        <w:p w14:paraId="50C84DBA" w14:textId="77777777" w:rsidR="00DA14FF" w:rsidRDefault="00DA14FF">
          <w:pPr>
            <w:pStyle w:val="Header"/>
          </w:pPr>
        </w:p>
      </w:tc>
    </w:tr>
  </w:tbl>
  <w:p w14:paraId="45F6D241" w14:textId="77777777" w:rsidR="00DA14FF" w:rsidRDefault="00DA1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42B6" w14:textId="77777777" w:rsidR="001F72D4" w:rsidRDefault="001F7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F9"/>
    <w:rsid w:val="000020F9"/>
    <w:rsid w:val="00074996"/>
    <w:rsid w:val="000D5233"/>
    <w:rsid w:val="00165EBD"/>
    <w:rsid w:val="00170772"/>
    <w:rsid w:val="00174194"/>
    <w:rsid w:val="00185734"/>
    <w:rsid w:val="001948BC"/>
    <w:rsid w:val="0019497D"/>
    <w:rsid w:val="001C222B"/>
    <w:rsid w:val="001F72D4"/>
    <w:rsid w:val="00234FD5"/>
    <w:rsid w:val="002F05D6"/>
    <w:rsid w:val="00333811"/>
    <w:rsid w:val="00345CBC"/>
    <w:rsid w:val="00386CAD"/>
    <w:rsid w:val="003927CD"/>
    <w:rsid w:val="00397E7B"/>
    <w:rsid w:val="003A4789"/>
    <w:rsid w:val="00404AA5"/>
    <w:rsid w:val="00423496"/>
    <w:rsid w:val="00431143"/>
    <w:rsid w:val="0049764C"/>
    <w:rsid w:val="004A12E8"/>
    <w:rsid w:val="004F34DA"/>
    <w:rsid w:val="004F468C"/>
    <w:rsid w:val="005118C9"/>
    <w:rsid w:val="005B6593"/>
    <w:rsid w:val="005C0322"/>
    <w:rsid w:val="005D106A"/>
    <w:rsid w:val="00630434"/>
    <w:rsid w:val="00695121"/>
    <w:rsid w:val="006B25EE"/>
    <w:rsid w:val="006D3E9E"/>
    <w:rsid w:val="006F1E89"/>
    <w:rsid w:val="007330BE"/>
    <w:rsid w:val="007457BA"/>
    <w:rsid w:val="007B4487"/>
    <w:rsid w:val="007D7F3C"/>
    <w:rsid w:val="00824C45"/>
    <w:rsid w:val="00876E66"/>
    <w:rsid w:val="008A733B"/>
    <w:rsid w:val="008D1DCB"/>
    <w:rsid w:val="008E2720"/>
    <w:rsid w:val="00933019"/>
    <w:rsid w:val="009C22BD"/>
    <w:rsid w:val="009E6E3E"/>
    <w:rsid w:val="00A02B0B"/>
    <w:rsid w:val="00A06B55"/>
    <w:rsid w:val="00A119E4"/>
    <w:rsid w:val="00A22545"/>
    <w:rsid w:val="00A4201B"/>
    <w:rsid w:val="00A6328E"/>
    <w:rsid w:val="00A95102"/>
    <w:rsid w:val="00AB06C5"/>
    <w:rsid w:val="00AB72DB"/>
    <w:rsid w:val="00B13B55"/>
    <w:rsid w:val="00B949D5"/>
    <w:rsid w:val="00BD2993"/>
    <w:rsid w:val="00BF285C"/>
    <w:rsid w:val="00BF7691"/>
    <w:rsid w:val="00C23DCB"/>
    <w:rsid w:val="00C356D9"/>
    <w:rsid w:val="00C436C1"/>
    <w:rsid w:val="00C543A6"/>
    <w:rsid w:val="00C86FC0"/>
    <w:rsid w:val="00C942F0"/>
    <w:rsid w:val="00CC1ED8"/>
    <w:rsid w:val="00CD3BB3"/>
    <w:rsid w:val="00D20172"/>
    <w:rsid w:val="00D2090C"/>
    <w:rsid w:val="00D247D1"/>
    <w:rsid w:val="00D26B30"/>
    <w:rsid w:val="00D347C3"/>
    <w:rsid w:val="00D44887"/>
    <w:rsid w:val="00DA14FF"/>
    <w:rsid w:val="00DB641F"/>
    <w:rsid w:val="00DC264B"/>
    <w:rsid w:val="00E07922"/>
    <w:rsid w:val="00E07AE8"/>
    <w:rsid w:val="00E67642"/>
    <w:rsid w:val="00E979C2"/>
    <w:rsid w:val="00EF4D50"/>
    <w:rsid w:val="00F0798B"/>
    <w:rsid w:val="00FD69D0"/>
    <w:rsid w:val="00FF2142"/>
    <w:rsid w:val="00FF24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AEDF4"/>
  <w15:chartTrackingRefBased/>
  <w15:docId w15:val="{8A0F6060-6BEF-41BD-95CA-8AFC1D3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b/>
      <w:color w:val="FFFFFF"/>
      <w:sz w:val="36"/>
      <w:szCs w:val="36"/>
    </w:rPr>
  </w:style>
  <w:style w:type="paragraph" w:styleId="Heading2">
    <w:name w:val="heading 2"/>
    <w:basedOn w:val="Normal"/>
    <w:next w:val="Normal"/>
    <w:qFormat/>
    <w:pPr>
      <w:keepNext/>
      <w:ind w:right="-146"/>
      <w:jc w:val="center"/>
      <w:outlineLvl w:val="1"/>
    </w:pPr>
    <w:rPr>
      <w:rFonts w:ascii="Tahoma" w:hAnsi="Tahoma"/>
      <w:b/>
      <w:color w:val="FFFFFF"/>
      <w:sz w:val="36"/>
      <w:szCs w:val="36"/>
    </w:rPr>
  </w:style>
  <w:style w:type="paragraph" w:styleId="Heading3">
    <w:name w:val="heading 3"/>
    <w:basedOn w:val="Normal"/>
    <w:next w:val="Normal"/>
    <w:qFormat/>
    <w:pPr>
      <w:keepNext/>
      <w:jc w:val="center"/>
      <w:outlineLvl w:val="2"/>
    </w:pPr>
    <w:rPr>
      <w:rFonts w:ascii="Tahoma" w:hAnsi="Tahoma" w:cs="Tahoma"/>
      <w:b/>
      <w:sz w:val="22"/>
      <w:szCs w:val="20"/>
      <w:u w:val="single"/>
    </w:rPr>
  </w:style>
  <w:style w:type="paragraph" w:styleId="Heading4">
    <w:name w:val="heading 4"/>
    <w:basedOn w:val="Normal"/>
    <w:next w:val="Normal"/>
    <w:qFormat/>
    <w:pPr>
      <w:keepNext/>
      <w:ind w:left="-136" w:right="-110"/>
      <w:jc w:val="center"/>
      <w:outlineLvl w:val="3"/>
    </w:pPr>
    <w:rPr>
      <w:rFonts w:ascii="Tahoma" w:hAnsi="Tahoma"/>
      <w:b/>
      <w:color w:val="000000"/>
      <w:sz w:val="36"/>
      <w:szCs w:val="36"/>
    </w:rPr>
  </w:style>
  <w:style w:type="paragraph" w:styleId="Heading5">
    <w:name w:val="heading 5"/>
    <w:basedOn w:val="Normal"/>
    <w:next w:val="Normal"/>
    <w:qFormat/>
    <w:pPr>
      <w:keepNext/>
      <w:outlineLvl w:val="4"/>
    </w:pPr>
    <w:rPr>
      <w:b/>
      <w:sz w:val="22"/>
      <w:szCs w:val="20"/>
      <w:u w:val="single"/>
    </w:rPr>
  </w:style>
  <w:style w:type="paragraph" w:styleId="Heading6">
    <w:name w:val="heading 6"/>
    <w:basedOn w:val="Normal"/>
    <w:next w:val="Normal"/>
    <w:qFormat/>
    <w:pPr>
      <w:keepNext/>
      <w:jc w:val="center"/>
      <w:outlineLvl w:val="5"/>
    </w:pPr>
    <w:rPr>
      <w:rFonts w:ascii="Tahoma" w:hAnsi="Tahoma" w:cs="Tahoma"/>
      <w:b/>
      <w:bCs/>
    </w:rPr>
  </w:style>
  <w:style w:type="paragraph" w:styleId="Heading7">
    <w:name w:val="heading 7"/>
    <w:basedOn w:val="Normal"/>
    <w:next w:val="Normal"/>
    <w:qFormat/>
    <w:pPr>
      <w:keepNext/>
      <w:jc w:val="center"/>
      <w:outlineLvl w:val="6"/>
    </w:pPr>
    <w:rPr>
      <w:rFonts w:ascii="Tahoma" w:hAnsi="Tahoma" w:cs="Tahoma"/>
      <w:b/>
      <w:bCs/>
      <w:color w:val="000000"/>
    </w:rPr>
  </w:style>
  <w:style w:type="paragraph" w:styleId="Heading8">
    <w:name w:val="heading 8"/>
    <w:basedOn w:val="Normal"/>
    <w:next w:val="Normal"/>
    <w:qFormat/>
    <w:pPr>
      <w:keepNext/>
      <w:jc w:val="center"/>
      <w:outlineLvl w:val="7"/>
    </w:pPr>
    <w:rPr>
      <w:rFonts w:ascii="Tahoma" w:hAnsi="Tahoma" w:cs="Tahoma"/>
      <w:b/>
      <w:bCs/>
      <w:sz w:val="36"/>
    </w:rPr>
  </w:style>
  <w:style w:type="paragraph" w:styleId="Heading9">
    <w:name w:val="heading 9"/>
    <w:basedOn w:val="Normal"/>
    <w:next w:val="Normal"/>
    <w:qFormat/>
    <w:pPr>
      <w:keepNext/>
      <w:ind w:left="34"/>
      <w:outlineLvl w:val="8"/>
    </w:pPr>
    <w:rPr>
      <w:rFonts w:ascii="Tahoma" w:hAnsi="Tahom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link w:val="BodyTextChar"/>
    <w:semiHidden/>
    <w:rPr>
      <w:szCs w:val="20"/>
    </w:rPr>
  </w:style>
  <w:style w:type="paragraph" w:styleId="BodyTextIndent2">
    <w:name w:val="Body Text Indent 2"/>
    <w:basedOn w:val="Normal"/>
    <w:semiHidden/>
    <w:pPr>
      <w:ind w:firstLine="720"/>
      <w:jc w:val="both"/>
    </w:pPr>
    <w:rPr>
      <w:rFonts w:ascii="Arial" w:hAnsi="Arial"/>
      <w:szCs w:val="20"/>
    </w:rPr>
  </w:style>
  <w:style w:type="paragraph" w:styleId="BodyTextIndent">
    <w:name w:val="Body Text Indent"/>
    <w:basedOn w:val="Normal"/>
    <w:semiHidden/>
    <w:pPr>
      <w:ind w:left="720"/>
      <w:jc w:val="both"/>
    </w:pPr>
    <w:rPr>
      <w:szCs w:val="20"/>
    </w:rPr>
  </w:style>
  <w:style w:type="paragraph" w:styleId="BodyText2">
    <w:name w:val="Body Text 2"/>
    <w:basedOn w:val="Normal"/>
    <w:semiHidden/>
    <w:pPr>
      <w:spacing w:before="120"/>
      <w:jc w:val="both"/>
    </w:pPr>
    <w:rPr>
      <w:rFonts w:ascii="Arial" w:hAnsi="Arial"/>
      <w:szCs w:val="20"/>
    </w:rPr>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Pr>
      <w:rFonts w:ascii="Courier New" w:hAnsi="Courier New"/>
    </w:rPr>
  </w:style>
  <w:style w:type="paragraph" w:styleId="BodyText3">
    <w:name w:val="Body Text 3"/>
    <w:basedOn w:val="Normal"/>
    <w:semiHidden/>
    <w:pPr>
      <w:jc w:val="both"/>
    </w:pPr>
    <w:rPr>
      <w:rFonts w:ascii="Tahoma" w:hAnsi="Tahoma" w:cs="Tahoma"/>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odyTextIndent3">
    <w:name w:val="Body Text Indent 3"/>
    <w:basedOn w:val="Normal"/>
    <w:semiHidden/>
    <w:pPr>
      <w:ind w:left="828"/>
      <w:jc w:val="both"/>
    </w:pPr>
    <w:rPr>
      <w:rFonts w:ascii="Tahoma" w:hAnsi="Tahoma" w:cs="Tahoma"/>
      <w:sz w:val="20"/>
    </w:rPr>
  </w:style>
  <w:style w:type="paragraph" w:styleId="Title">
    <w:name w:val="Title"/>
    <w:basedOn w:val="Normal"/>
    <w:link w:val="TitleChar"/>
    <w:qFormat/>
    <w:pPr>
      <w:jc w:val="center"/>
    </w:pPr>
    <w:rPr>
      <w:rFonts w:ascii="Tahoma" w:hAnsi="Tahoma" w:cs="Tahoma"/>
      <w:b/>
      <w:bCs/>
    </w:rPr>
  </w:style>
  <w:style w:type="character" w:customStyle="1" w:styleId="BodyTextChar">
    <w:name w:val="Body Text Char"/>
    <w:basedOn w:val="DefaultParagraphFont"/>
    <w:link w:val="BodyText"/>
    <w:semiHidden/>
    <w:rsid w:val="006B25EE"/>
    <w:rPr>
      <w:sz w:val="24"/>
    </w:rPr>
  </w:style>
  <w:style w:type="table" w:styleId="TableGrid">
    <w:name w:val="Table Grid"/>
    <w:basedOn w:val="TableNormal"/>
    <w:uiPriority w:val="59"/>
    <w:rsid w:val="006B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423496"/>
    <w:rPr>
      <w:rFonts w:ascii="Tahoma" w:hAnsi="Tahoma" w:cs="Tahoma"/>
      <w:b/>
      <w:bCs/>
      <w:sz w:val="24"/>
      <w:szCs w:val="24"/>
    </w:rPr>
  </w:style>
  <w:style w:type="paragraph" w:styleId="BalloonText">
    <w:name w:val="Balloon Text"/>
    <w:basedOn w:val="Normal"/>
    <w:link w:val="BalloonTextChar"/>
    <w:uiPriority w:val="99"/>
    <w:semiHidden/>
    <w:unhideWhenUsed/>
    <w:rsid w:val="006D3E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E9E"/>
    <w:rPr>
      <w:rFonts w:ascii="Segoe UI" w:hAnsi="Segoe UI" w:cs="Segoe UI"/>
      <w:sz w:val="18"/>
      <w:szCs w:val="18"/>
    </w:rPr>
  </w:style>
  <w:style w:type="character" w:customStyle="1" w:styleId="cf01">
    <w:name w:val="cf01"/>
    <w:rsid w:val="00234FD5"/>
    <w:rPr>
      <w:rFonts w:ascii="Segoe UI" w:hAnsi="Segoe UI" w:cs="Segoe UI" w:hint="default"/>
      <w:sz w:val="18"/>
      <w:szCs w:val="18"/>
    </w:rPr>
  </w:style>
  <w:style w:type="character" w:styleId="CommentReference">
    <w:name w:val="annotation reference"/>
    <w:basedOn w:val="DefaultParagraphFont"/>
    <w:uiPriority w:val="99"/>
    <w:semiHidden/>
    <w:unhideWhenUsed/>
    <w:rsid w:val="00A6328E"/>
    <w:rPr>
      <w:sz w:val="16"/>
      <w:szCs w:val="16"/>
    </w:rPr>
  </w:style>
  <w:style w:type="paragraph" w:styleId="CommentText">
    <w:name w:val="annotation text"/>
    <w:basedOn w:val="Normal"/>
    <w:link w:val="CommentTextChar"/>
    <w:uiPriority w:val="99"/>
    <w:unhideWhenUsed/>
    <w:rsid w:val="00A6328E"/>
    <w:rPr>
      <w:sz w:val="20"/>
      <w:szCs w:val="20"/>
    </w:rPr>
  </w:style>
  <w:style w:type="character" w:customStyle="1" w:styleId="CommentTextChar">
    <w:name w:val="Comment Text Char"/>
    <w:basedOn w:val="DefaultParagraphFont"/>
    <w:link w:val="CommentText"/>
    <w:uiPriority w:val="99"/>
    <w:rsid w:val="00A6328E"/>
  </w:style>
  <w:style w:type="paragraph" w:styleId="CommentSubject">
    <w:name w:val="annotation subject"/>
    <w:basedOn w:val="CommentText"/>
    <w:next w:val="CommentText"/>
    <w:link w:val="CommentSubjectChar"/>
    <w:uiPriority w:val="99"/>
    <w:semiHidden/>
    <w:unhideWhenUsed/>
    <w:rsid w:val="00A6328E"/>
    <w:rPr>
      <w:b/>
      <w:bCs/>
    </w:rPr>
  </w:style>
  <w:style w:type="character" w:customStyle="1" w:styleId="CommentSubjectChar">
    <w:name w:val="Comment Subject Char"/>
    <w:basedOn w:val="CommentTextChar"/>
    <w:link w:val="CommentSubject"/>
    <w:uiPriority w:val="99"/>
    <w:semiHidden/>
    <w:rsid w:val="00A63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83">
      <w:bodyDiv w:val="1"/>
      <w:marLeft w:val="0"/>
      <w:marRight w:val="0"/>
      <w:marTop w:val="0"/>
      <w:marBottom w:val="0"/>
      <w:divBdr>
        <w:top w:val="none" w:sz="0" w:space="0" w:color="auto"/>
        <w:left w:val="none" w:sz="0" w:space="0" w:color="auto"/>
        <w:bottom w:val="none" w:sz="0" w:space="0" w:color="auto"/>
        <w:right w:val="none" w:sz="0" w:space="0" w:color="auto"/>
      </w:divBdr>
    </w:div>
    <w:div w:id="166796629">
      <w:bodyDiv w:val="1"/>
      <w:marLeft w:val="0"/>
      <w:marRight w:val="0"/>
      <w:marTop w:val="0"/>
      <w:marBottom w:val="0"/>
      <w:divBdr>
        <w:top w:val="none" w:sz="0" w:space="0" w:color="auto"/>
        <w:left w:val="none" w:sz="0" w:space="0" w:color="auto"/>
        <w:bottom w:val="none" w:sz="0" w:space="0" w:color="auto"/>
        <w:right w:val="none" w:sz="0" w:space="0" w:color="auto"/>
      </w:divBdr>
    </w:div>
    <w:div w:id="208808033">
      <w:bodyDiv w:val="1"/>
      <w:marLeft w:val="0"/>
      <w:marRight w:val="0"/>
      <w:marTop w:val="0"/>
      <w:marBottom w:val="0"/>
      <w:divBdr>
        <w:top w:val="none" w:sz="0" w:space="0" w:color="auto"/>
        <w:left w:val="none" w:sz="0" w:space="0" w:color="auto"/>
        <w:bottom w:val="none" w:sz="0" w:space="0" w:color="auto"/>
        <w:right w:val="none" w:sz="0" w:space="0" w:color="auto"/>
      </w:divBdr>
    </w:div>
    <w:div w:id="457340983">
      <w:bodyDiv w:val="1"/>
      <w:marLeft w:val="0"/>
      <w:marRight w:val="0"/>
      <w:marTop w:val="0"/>
      <w:marBottom w:val="0"/>
      <w:divBdr>
        <w:top w:val="none" w:sz="0" w:space="0" w:color="auto"/>
        <w:left w:val="none" w:sz="0" w:space="0" w:color="auto"/>
        <w:bottom w:val="none" w:sz="0" w:space="0" w:color="auto"/>
        <w:right w:val="none" w:sz="0" w:space="0" w:color="auto"/>
      </w:divBdr>
    </w:div>
    <w:div w:id="510754158">
      <w:bodyDiv w:val="1"/>
      <w:marLeft w:val="0"/>
      <w:marRight w:val="0"/>
      <w:marTop w:val="0"/>
      <w:marBottom w:val="0"/>
      <w:divBdr>
        <w:top w:val="none" w:sz="0" w:space="0" w:color="auto"/>
        <w:left w:val="none" w:sz="0" w:space="0" w:color="auto"/>
        <w:bottom w:val="none" w:sz="0" w:space="0" w:color="auto"/>
        <w:right w:val="none" w:sz="0" w:space="0" w:color="auto"/>
      </w:divBdr>
    </w:div>
    <w:div w:id="1201087969">
      <w:bodyDiv w:val="1"/>
      <w:marLeft w:val="0"/>
      <w:marRight w:val="0"/>
      <w:marTop w:val="0"/>
      <w:marBottom w:val="0"/>
      <w:divBdr>
        <w:top w:val="none" w:sz="0" w:space="0" w:color="auto"/>
        <w:left w:val="none" w:sz="0" w:space="0" w:color="auto"/>
        <w:bottom w:val="none" w:sz="0" w:space="0" w:color="auto"/>
        <w:right w:val="none" w:sz="0" w:space="0" w:color="auto"/>
      </w:divBdr>
    </w:div>
    <w:div w:id="1363243891">
      <w:bodyDiv w:val="1"/>
      <w:marLeft w:val="0"/>
      <w:marRight w:val="0"/>
      <w:marTop w:val="0"/>
      <w:marBottom w:val="0"/>
      <w:divBdr>
        <w:top w:val="none" w:sz="0" w:space="0" w:color="auto"/>
        <w:left w:val="none" w:sz="0" w:space="0" w:color="auto"/>
        <w:bottom w:val="none" w:sz="0" w:space="0" w:color="auto"/>
        <w:right w:val="none" w:sz="0" w:space="0" w:color="auto"/>
      </w:divBdr>
    </w:div>
    <w:div w:id="1375887694">
      <w:bodyDiv w:val="1"/>
      <w:marLeft w:val="0"/>
      <w:marRight w:val="0"/>
      <w:marTop w:val="0"/>
      <w:marBottom w:val="0"/>
      <w:divBdr>
        <w:top w:val="none" w:sz="0" w:space="0" w:color="auto"/>
        <w:left w:val="none" w:sz="0" w:space="0" w:color="auto"/>
        <w:bottom w:val="none" w:sz="0" w:space="0" w:color="auto"/>
        <w:right w:val="none" w:sz="0" w:space="0" w:color="auto"/>
      </w:divBdr>
    </w:div>
    <w:div w:id="1396464932">
      <w:bodyDiv w:val="1"/>
      <w:marLeft w:val="0"/>
      <w:marRight w:val="0"/>
      <w:marTop w:val="0"/>
      <w:marBottom w:val="0"/>
      <w:divBdr>
        <w:top w:val="none" w:sz="0" w:space="0" w:color="auto"/>
        <w:left w:val="none" w:sz="0" w:space="0" w:color="auto"/>
        <w:bottom w:val="none" w:sz="0" w:space="0" w:color="auto"/>
        <w:right w:val="none" w:sz="0" w:space="0" w:color="auto"/>
      </w:divBdr>
    </w:div>
    <w:div w:id="1680042038">
      <w:bodyDiv w:val="1"/>
      <w:marLeft w:val="0"/>
      <w:marRight w:val="0"/>
      <w:marTop w:val="0"/>
      <w:marBottom w:val="0"/>
      <w:divBdr>
        <w:top w:val="none" w:sz="0" w:space="0" w:color="auto"/>
        <w:left w:val="none" w:sz="0" w:space="0" w:color="auto"/>
        <w:bottom w:val="none" w:sz="0" w:space="0" w:color="auto"/>
        <w:right w:val="none" w:sz="0" w:space="0" w:color="auto"/>
      </w:divBdr>
    </w:div>
    <w:div w:id="20727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F67E2D22031BA243B563CE310533F149" ma:contentTypeVersion="2" ma:contentTypeDescription="Δημιουργία νέου εγγράφου" ma:contentTypeScope="" ma:versionID="02547c48415bb712a36ad24f3786accd">
  <xsd:schema xmlns:xsd="http://www.w3.org/2001/XMLSchema" xmlns:xs="http://www.w3.org/2001/XMLSchema" xmlns:p="http://schemas.microsoft.com/office/2006/metadata/properties" xmlns:ns2="dc0e04bc-90c8-4332-a73b-9fbe083bc5e7" targetNamespace="http://schemas.microsoft.com/office/2006/metadata/properties" ma:root="true" ma:fieldsID="295f22d880e2dcd15d45bace89f6477e" ns2:_="">
    <xsd:import namespace="dc0e04bc-90c8-4332-a73b-9fbe083bc5e7"/>
    <xsd:element name="properties">
      <xsd:complexType>
        <xsd:sequence>
          <xsd:element name="documentManagement">
            <xsd:complexType>
              <xsd:all>
                <xsd:element ref="ns2:_x039a__x03b1__x03c4__x03b7__x03b3__x03bf__x03c1__x03af__x03b1__x0020__x0395__x03b3__x03b3__x03c1__x03ac__x03c6__x03bf__x03c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04bc-90c8-4332-a73b-9fbe083bc5e7" elementFormDefault="qualified">
    <xsd:import namespace="http://schemas.microsoft.com/office/2006/documentManagement/types"/>
    <xsd:import namespace="http://schemas.microsoft.com/office/infopath/2007/PartnerControls"/>
    <xsd:element name="_x039a__x03b1__x03c4__x03b7__x03b3__x03bf__x03c1__x03af__x03b1__x0020__x0395__x03b3__x03b3__x03c1__x03ac__x03c6__x03bf__x03c5_" ma:index="8" nillable="true" ma:displayName="Κατηγορία Εγγράφου" ma:format="Dropdown" ma:internalName="_x039a__x03b1__x03c4__x03b7__x03b3__x03bf__x03c1__x03af__x03b1__x0020__x0395__x03b3__x03b3__x03c1__x03ac__x03c6__x03bf__x03c5_">
      <xsd:simpleType>
        <xsd:restriction base="dms:Choice">
          <xsd:enumeration value="Έντυπα Δ/νσης Κεντροποιημένων Εργασιών"/>
          <xsd:enumeration value="Σύσταση Ενεχύρου"/>
          <xsd:enumeration value="Έντυπα γενικής χρήσης"/>
          <xsd:enumeration value="Πληροφοριακό Υλικό"/>
          <xsd:enumeration value="Εικόνες"/>
          <xsd:enumeration value="Εργαλεία υπολογισμώ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39a__x03b1__x03c4__x03b7__x03b3__x03bf__x03c1__x03af__x03b1__x0020__x0395__x03b3__x03b3__x03c1__x03ac__x03c6__x03bf__x03c5_ xmlns="dc0e04bc-90c8-4332-a73b-9fbe083bc5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Έγγραφο" ma:contentTypeID="0x010100F67E2D22031BA243B563CE310533F149" ma:contentTypeVersion="2" ma:contentTypeDescription="Δημιουργία νέου εγγράφου" ma:contentTypeScope="" ma:versionID="02547c48415bb712a36ad24f3786accd">
  <xsd:schema xmlns:xsd="http://www.w3.org/2001/XMLSchema" xmlns:xs="http://www.w3.org/2001/XMLSchema" xmlns:p="http://schemas.microsoft.com/office/2006/metadata/properties" xmlns:ns2="dc0e04bc-90c8-4332-a73b-9fbe083bc5e7" targetNamespace="http://schemas.microsoft.com/office/2006/metadata/properties" ma:root="true" ma:fieldsID="295f22d880e2dcd15d45bace89f6477e" ns2:_="">
    <xsd:import namespace="dc0e04bc-90c8-4332-a73b-9fbe083bc5e7"/>
    <xsd:element name="properties">
      <xsd:complexType>
        <xsd:sequence>
          <xsd:element name="documentManagement">
            <xsd:complexType>
              <xsd:all>
                <xsd:element ref="ns2:_x039a__x03b1__x03c4__x03b7__x03b3__x03bf__x03c1__x03af__x03b1__x0020__x0395__x03b3__x03b3__x03c1__x03ac__x03c6__x03bf__x03c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04bc-90c8-4332-a73b-9fbe083bc5e7" elementFormDefault="qualified">
    <xsd:import namespace="http://schemas.microsoft.com/office/2006/documentManagement/types"/>
    <xsd:import namespace="http://schemas.microsoft.com/office/infopath/2007/PartnerControls"/>
    <xsd:element name="_x039a__x03b1__x03c4__x03b7__x03b3__x03bf__x03c1__x03af__x03b1__x0020__x0395__x03b3__x03b3__x03c1__x03ac__x03c6__x03bf__x03c5_" ma:index="8" nillable="true" ma:displayName="Κατηγορία Εγγράφου" ma:format="Dropdown" ma:internalName="_x039a__x03b1__x03c4__x03b7__x03b3__x03bf__x03c1__x03af__x03b1__x0020__x0395__x03b3__x03b3__x03c1__x03ac__x03c6__x03bf__x03c5_">
      <xsd:simpleType>
        <xsd:restriction base="dms:Choice">
          <xsd:enumeration value="Έντυπα Δ/νσης Κεντροποιημένων Εργασιών"/>
          <xsd:enumeration value="Σύσταση Ενεχύρου"/>
          <xsd:enumeration value="Έντυπα γενικής χρήσης"/>
          <xsd:enumeration value="Πληροφοριακό Υλικό"/>
          <xsd:enumeration value="Εικόνες"/>
          <xsd:enumeration value="Εργαλεία υπολογισμώ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8732A-D79B-445C-8164-9F2DC1F99D62}">
  <ds:schemaRefs>
    <ds:schemaRef ds:uri="http://schemas.microsoft.com/sharepoint/v3/contenttype/forms"/>
  </ds:schemaRefs>
</ds:datastoreItem>
</file>

<file path=customXml/itemProps2.xml><?xml version="1.0" encoding="utf-8"?>
<ds:datastoreItem xmlns:ds="http://schemas.openxmlformats.org/officeDocument/2006/customXml" ds:itemID="{0EB0004E-202D-4931-9417-355144F0E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04bc-90c8-4332-a73b-9fbe083bc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5B2AE-CC5A-45C7-9336-B4B9E42BAE2A}">
  <ds:schemaRefs>
    <ds:schemaRef ds:uri="http://schemas.microsoft.com/office/2006/metadata/properties"/>
    <ds:schemaRef ds:uri="http://schemas.microsoft.com/office/infopath/2007/PartnerControls"/>
    <ds:schemaRef ds:uri="dc0e04bc-90c8-4332-a73b-9fbe083bc5e7"/>
  </ds:schemaRefs>
</ds:datastoreItem>
</file>

<file path=customXml/itemProps4.xml><?xml version="1.0" encoding="utf-8"?>
<ds:datastoreItem xmlns:ds="http://schemas.openxmlformats.org/officeDocument/2006/customXml" ds:itemID="{BE0DDA41-8C99-40F5-9FA7-8FCB520A80EC}">
  <ds:schemaRefs>
    <ds:schemaRef ds:uri="http://schemas.openxmlformats.org/officeDocument/2006/bibliography"/>
  </ds:schemaRefs>
</ds:datastoreItem>
</file>

<file path=customXml/itemProps5.xml><?xml version="1.0" encoding="utf-8"?>
<ds:datastoreItem xmlns:ds="http://schemas.openxmlformats.org/officeDocument/2006/customXml" ds:itemID="{02533350-7D30-4CA4-9529-F1B393CF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04bc-90c8-4332-a73b-9fbe083bc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205EE2-8BD9-40CA-B487-BF510A13F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5362</Characters>
  <Application>Microsoft Office Word</Application>
  <DocSecurity>0</DocSecurity>
  <Lines>90</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ΔΙΕΥΘΥΝΣΗ ΟΡΓΑΝΩΣΗΣ</vt:lpstr>
      <vt:lpstr>ΔΙΕΥΘΥΝΣΗ ΟΡΓΑΝΩΣΗΣ</vt:lpstr>
    </vt:vector>
  </TitlesOfParts>
  <Company>NBG EDP</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ΔΙΕΥΘΥΝΣΗ ΟΡΓΑΝΩΣΗΣ</dc:title>
  <dc:subject/>
  <dc:creator>NBG (900)</dc:creator>
  <cp:keywords/>
  <dc:description/>
  <cp:lastModifiedBy>ΣΟΛΩΜΟΣ ΔΗΜΗΤΡΙΟΣ</cp:lastModifiedBy>
  <cp:revision>2</cp:revision>
  <cp:lastPrinted>2017-11-02T19:00:00Z</cp:lastPrinted>
  <dcterms:created xsi:type="dcterms:W3CDTF">2024-07-10T06:00:00Z</dcterms:created>
  <dcterms:modified xsi:type="dcterms:W3CDTF">2024-07-10T06:00:00Z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Κατηγορία Εγγράφου">
    <vt:lpwstr/>
  </property>
  <property fmtid="{D5CDD505-2E9C-101B-9397-08002B2CF9AE}" pid="3" name="DLPManualFileClassification">
    <vt:lpwstr>{1A067545-A4E2-4FA1-8094-0D7902669705}</vt:lpwstr>
  </property>
  <property fmtid="{D5CDD505-2E9C-101B-9397-08002B2CF9AE}" pid="4" name="DLPManualFileClassificationLastModifiedBy">
    <vt:lpwstr>BANK\e36331</vt:lpwstr>
  </property>
  <property fmtid="{D5CDD505-2E9C-101B-9397-08002B2CF9AE}" pid="5" name="DLPManualFileClassificationLastModificationDate">
    <vt:lpwstr>1538546746</vt:lpwstr>
  </property>
  <property fmtid="{D5CDD505-2E9C-101B-9397-08002B2CF9AE}" pid="6" name="DLPManualFileClassificationVersion">
    <vt:lpwstr>10.0.300.68</vt:lpwstr>
  </property>
</Properties>
</file>